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AEF45" w14:textId="23D5A453" w:rsidR="00D5260C" w:rsidRDefault="00D5260C"/>
    <w:p w14:paraId="71548840" w14:textId="126A6085" w:rsidR="00D5260C" w:rsidRPr="00D5260C" w:rsidRDefault="00D5260C">
      <w:pPr>
        <w:rPr>
          <w:rFonts w:ascii="Arial" w:hAnsi="Arial" w:cs="Arial"/>
          <w:color w:val="3F3F3F"/>
          <w:sz w:val="28"/>
          <w:szCs w:val="28"/>
          <w:shd w:val="clear" w:color="auto" w:fill="FFFFFF"/>
        </w:rPr>
      </w:pPr>
      <w:r w:rsidRPr="00777A82">
        <w:rPr>
          <w:rFonts w:ascii="Arial" w:hAnsi="Arial" w:cs="Arial"/>
          <w:b/>
          <w:bCs/>
          <w:color w:val="3F3F3F"/>
          <w:sz w:val="28"/>
          <w:szCs w:val="28"/>
          <w:highlight w:val="green"/>
          <w:shd w:val="clear" w:color="auto" w:fill="FFFFFF"/>
        </w:rPr>
        <w:t>Die Flurbilanz 2022 ist eine landwirtschaftliche Fachplanung zur landesweit</w:t>
      </w:r>
      <w:r w:rsidRPr="00777A82">
        <w:rPr>
          <w:rFonts w:ascii="Arial" w:hAnsi="Arial" w:cs="Arial"/>
          <w:color w:val="3F3F3F"/>
          <w:sz w:val="28"/>
          <w:szCs w:val="28"/>
          <w:highlight w:val="green"/>
          <w:shd w:val="clear" w:color="auto" w:fill="FFFFFF"/>
        </w:rPr>
        <w:t xml:space="preserve"> </w:t>
      </w:r>
      <w:r w:rsidRPr="00777A82">
        <w:rPr>
          <w:rFonts w:ascii="Arial" w:hAnsi="Arial" w:cs="Arial"/>
          <w:b/>
          <w:bCs/>
          <w:color w:val="3F3F3F"/>
          <w:sz w:val="28"/>
          <w:szCs w:val="28"/>
          <w:highlight w:val="green"/>
          <w:shd w:val="clear" w:color="auto" w:fill="FFFFFF"/>
        </w:rPr>
        <w:t>einheitlichen Bewertung von Flächen nach natürlichen und landwirtschaftlichen Gesichtspunkten.</w:t>
      </w:r>
      <w:r w:rsidRPr="00D5260C">
        <w:rPr>
          <w:rFonts w:ascii="Arial" w:hAnsi="Arial" w:cs="Arial"/>
          <w:color w:val="3F3F3F"/>
          <w:sz w:val="28"/>
          <w:szCs w:val="28"/>
        </w:rPr>
        <w:br/>
      </w:r>
      <w:r w:rsidRPr="00D5260C">
        <w:rPr>
          <w:rFonts w:ascii="Arial" w:hAnsi="Arial" w:cs="Arial"/>
          <w:color w:val="3F3F3F"/>
          <w:sz w:val="28"/>
          <w:szCs w:val="28"/>
          <w:shd w:val="clear" w:color="auto" w:fill="FFFFFF"/>
        </w:rPr>
        <w:t>Zum Schutz landwirtschaftlicher Flächen ist die Flurbilanz seit 2020 in § 16 des Landwirtschafts- und Landeskulturgesetzes verankert. Sie entspricht der dort genannten Standorteignungskartierung, die in der Verwaltungsvorschrift des MLR zur Standorteignungskartierung und Bodenbilanz (</w:t>
      </w:r>
      <w:hyperlink r:id="rId4" w:tgtFrame="_blank" w:history="1">
        <w:r w:rsidRPr="00D5260C">
          <w:rPr>
            <w:rStyle w:val="Hyperlink"/>
            <w:rFonts w:ascii="Arial" w:hAnsi="Arial" w:cs="Arial"/>
            <w:color w:val="597425"/>
            <w:sz w:val="28"/>
            <w:szCs w:val="28"/>
            <w:bdr w:val="none" w:sz="0" w:space="0" w:color="auto" w:frame="1"/>
            <w:shd w:val="clear" w:color="auto" w:fill="FFFFFF"/>
          </w:rPr>
          <w:t>VwV Standorteignungskartierung und Bodenbilanz</w:t>
        </w:r>
      </w:hyperlink>
      <w:r w:rsidRPr="00D5260C">
        <w:rPr>
          <w:rFonts w:ascii="Arial" w:hAnsi="Arial" w:cs="Arial"/>
          <w:color w:val="3F3F3F"/>
          <w:sz w:val="28"/>
          <w:szCs w:val="28"/>
          <w:shd w:val="clear" w:color="auto" w:fill="FFFFFF"/>
        </w:rPr>
        <w:t>) vom 31.03.2022 definiert ist.</w:t>
      </w:r>
      <w:r w:rsidRPr="00D5260C">
        <w:rPr>
          <w:rFonts w:ascii="Arial" w:hAnsi="Arial" w:cs="Arial"/>
          <w:color w:val="3F3F3F"/>
          <w:sz w:val="28"/>
          <w:szCs w:val="28"/>
        </w:rPr>
        <w:br/>
      </w:r>
      <w:r w:rsidRPr="00D5260C">
        <w:rPr>
          <w:rFonts w:ascii="Arial" w:hAnsi="Arial" w:cs="Arial"/>
          <w:color w:val="3F3F3F"/>
          <w:sz w:val="28"/>
          <w:szCs w:val="28"/>
        </w:rPr>
        <w:br/>
      </w:r>
      <w:r w:rsidRPr="00D5260C">
        <w:rPr>
          <w:rFonts w:ascii="Arial" w:hAnsi="Arial" w:cs="Arial"/>
          <w:color w:val="3F3F3F"/>
          <w:sz w:val="28"/>
          <w:szCs w:val="28"/>
          <w:shd w:val="clear" w:color="auto" w:fill="FFFFFF"/>
        </w:rPr>
        <w:t>Für die Erstellung der Flurbilanz 2022 werden landwirtschaftliche Flächen zu Fluren mit einer durchschnittlichen Größe von etwa 30 ha, mindestens 1 ha, zusammengefasst. Die Flurabgrenzung orientiert sich an den Hauptnutzungen Acker, Grünland und Dauerkulturen (Obst, Hopfen, Wein).</w:t>
      </w:r>
      <w:r w:rsidRPr="00D5260C">
        <w:rPr>
          <w:rFonts w:ascii="Arial" w:hAnsi="Arial" w:cs="Arial"/>
          <w:color w:val="3F3F3F"/>
          <w:sz w:val="28"/>
          <w:szCs w:val="28"/>
        </w:rPr>
        <w:br/>
      </w:r>
      <w:proofErr w:type="gramStart"/>
      <w:r w:rsidRPr="00D5260C">
        <w:rPr>
          <w:rFonts w:ascii="Arial" w:hAnsi="Arial" w:cs="Arial"/>
          <w:color w:val="3F3F3F"/>
          <w:sz w:val="28"/>
          <w:szCs w:val="28"/>
          <w:shd w:val="clear" w:color="auto" w:fill="FFFFFF"/>
        </w:rPr>
        <w:t>Neben</w:t>
      </w:r>
      <w:proofErr w:type="gramEnd"/>
      <w:r w:rsidRPr="00D5260C">
        <w:rPr>
          <w:rFonts w:ascii="Arial" w:hAnsi="Arial" w:cs="Arial"/>
          <w:color w:val="3F3F3F"/>
          <w:sz w:val="28"/>
          <w:szCs w:val="28"/>
          <w:shd w:val="clear" w:color="auto" w:fill="FFFFFF"/>
        </w:rPr>
        <w:t xml:space="preserve"> der Ertragsfähigkeit der Böden werden weitere Standardkriterien wie Hangneigung, Flächennutzung, Schlaggröße, Tierhaltung, Ökolandbau und Überschwemmungsflächen berücksichtigt. Diese können von den Unteren Landwirtschaftsbehörden durch Regionale Kriterien (Investitionen, Erschließung / Arrondierung, Flächennachfrage, besondere Einschränkungen der Bewirtschaftung) ergänzt werden.</w:t>
      </w:r>
      <w:r w:rsidRPr="00D5260C">
        <w:rPr>
          <w:rFonts w:ascii="Arial" w:hAnsi="Arial" w:cs="Arial"/>
          <w:color w:val="3F3F3F"/>
          <w:sz w:val="28"/>
          <w:szCs w:val="28"/>
        </w:rPr>
        <w:br/>
      </w:r>
      <w:r w:rsidRPr="00D5260C">
        <w:rPr>
          <w:rFonts w:ascii="Arial" w:hAnsi="Arial" w:cs="Arial"/>
          <w:color w:val="3F3F3F"/>
          <w:sz w:val="28"/>
          <w:szCs w:val="28"/>
        </w:rPr>
        <w:br/>
      </w:r>
      <w:r w:rsidRPr="00D5260C">
        <w:rPr>
          <w:rFonts w:ascii="Arial" w:hAnsi="Arial" w:cs="Arial"/>
          <w:color w:val="3F3F3F"/>
          <w:sz w:val="28"/>
          <w:szCs w:val="28"/>
          <w:shd w:val="clear" w:color="auto" w:fill="FFFFFF"/>
        </w:rPr>
        <w:t>Die Flurbilanz weist eine Differenzierung nach 5 Wertstufen auf. Sie soll zukünftig alle 5 Jahre aktualisiert werden.</w:t>
      </w:r>
    </w:p>
    <w:p w14:paraId="1353A196" w14:textId="77777777" w:rsidR="00D5260C" w:rsidRDefault="00D5260C">
      <w:pPr>
        <w:rPr>
          <w:noProof/>
        </w:rPr>
      </w:pPr>
    </w:p>
    <w:p w14:paraId="6852E143" w14:textId="06A8C329" w:rsidR="00D5260C" w:rsidRDefault="00D5260C">
      <w:r>
        <w:rPr>
          <w:noProof/>
        </w:rPr>
        <w:drawing>
          <wp:inline distT="0" distB="0" distL="0" distR="0" wp14:anchorId="629D6B6F" wp14:editId="775EB092">
            <wp:extent cx="6733539" cy="2190750"/>
            <wp:effectExtent l="0" t="0" r="0" b="0"/>
            <wp:docPr id="1883715796" name="Grafik 1" descr="Ein Bild, das Text, Screenshot, Schrif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15796" name="Grafik 1" descr="Ein Bild, das Text, Screenshot, Schrift enthält."/>
                    <pic:cNvPicPr/>
                  </pic:nvPicPr>
                  <pic:blipFill rotWithShape="1">
                    <a:blip r:embed="rId5"/>
                    <a:srcRect l="1395" b="4952"/>
                    <a:stretch/>
                  </pic:blipFill>
                  <pic:spPr bwMode="auto">
                    <a:xfrm>
                      <a:off x="0" y="0"/>
                      <a:ext cx="6744928" cy="2194455"/>
                    </a:xfrm>
                    <a:prstGeom prst="rect">
                      <a:avLst/>
                    </a:prstGeom>
                    <a:ln>
                      <a:noFill/>
                    </a:ln>
                    <a:extLst>
                      <a:ext uri="{53640926-AAD7-44D8-BBD7-CCE9431645EC}">
                        <a14:shadowObscured xmlns:a14="http://schemas.microsoft.com/office/drawing/2010/main"/>
                      </a:ext>
                    </a:extLst>
                  </pic:spPr>
                </pic:pic>
              </a:graphicData>
            </a:graphic>
          </wp:inline>
        </w:drawing>
      </w:r>
    </w:p>
    <w:p w14:paraId="7BAD440C" w14:textId="77777777" w:rsidR="00D5260C" w:rsidRDefault="00D5260C"/>
    <w:p w14:paraId="65A9B33B" w14:textId="77777777" w:rsidR="00D5260C" w:rsidRDefault="00D5260C"/>
    <w:p w14:paraId="5501ABD0" w14:textId="77777777" w:rsidR="00D5260C" w:rsidRDefault="00D5260C"/>
    <w:p w14:paraId="4B3BE68B" w14:textId="77777777" w:rsidR="00D5260C" w:rsidRDefault="00D5260C"/>
    <w:p w14:paraId="5B7B1B5A" w14:textId="77777777" w:rsidR="00D5260C" w:rsidRDefault="00D5260C"/>
    <w:p w14:paraId="13409FC1" w14:textId="77777777" w:rsidR="00D5260C" w:rsidRDefault="00D5260C"/>
    <w:p w14:paraId="1C801B12" w14:textId="77777777" w:rsidR="00D5260C" w:rsidRDefault="00D5260C"/>
    <w:p w14:paraId="43CD4FEF" w14:textId="626DDC13" w:rsidR="00D5260C" w:rsidRPr="00D5260C" w:rsidRDefault="00D5260C" w:rsidP="00D5260C">
      <w:pPr>
        <w:shd w:val="clear" w:color="auto" w:fill="FFFFFF"/>
        <w:spacing w:after="0" w:line="240" w:lineRule="auto"/>
        <w:rPr>
          <w:rFonts w:ascii="Arial" w:eastAsia="Times New Roman" w:hAnsi="Arial" w:cs="Arial"/>
          <w:caps/>
          <w:color w:val="3F3F3F"/>
          <w:kern w:val="0"/>
          <w:sz w:val="28"/>
          <w:szCs w:val="28"/>
          <w:lang w:eastAsia="de-DE"/>
          <w14:ligatures w14:val="none"/>
        </w:rPr>
      </w:pPr>
      <w:r w:rsidRPr="00D5260C">
        <w:rPr>
          <w:rFonts w:ascii="Arial" w:eastAsia="Times New Roman" w:hAnsi="Arial" w:cs="Arial"/>
          <w:caps/>
          <w:color w:val="3F3F3F"/>
          <w:kern w:val="0"/>
          <w:sz w:val="28"/>
          <w:szCs w:val="28"/>
          <w:lang w:eastAsia="de-DE"/>
          <w14:ligatures w14:val="none"/>
        </w:rPr>
        <w:t>WEITERGEHENDE INFORMATIONEN ZU DEN WERTSTUFEN</w:t>
      </w:r>
    </w:p>
    <w:p w14:paraId="36806D66" w14:textId="77777777" w:rsidR="00D5260C" w:rsidRPr="00D5260C" w:rsidRDefault="00000000" w:rsidP="00D5260C">
      <w:pPr>
        <w:shd w:val="clear" w:color="auto" w:fill="FFFFFF"/>
        <w:spacing w:after="0" w:line="240" w:lineRule="auto"/>
        <w:rPr>
          <w:rFonts w:ascii="Arial" w:eastAsia="Times New Roman" w:hAnsi="Arial" w:cs="Arial"/>
          <w:color w:val="3F3F3F"/>
          <w:kern w:val="0"/>
          <w:sz w:val="28"/>
          <w:szCs w:val="28"/>
          <w:lang w:eastAsia="de-DE"/>
          <w14:ligatures w14:val="none"/>
        </w:rPr>
      </w:pPr>
      <w:r>
        <w:rPr>
          <w:rFonts w:ascii="Arial" w:eastAsia="Times New Roman" w:hAnsi="Arial" w:cs="Arial"/>
          <w:color w:val="3F3F3F"/>
          <w:kern w:val="0"/>
          <w:sz w:val="28"/>
          <w:szCs w:val="28"/>
          <w:lang w:eastAsia="de-DE"/>
          <w14:ligatures w14:val="none"/>
        </w:rPr>
        <w:pict w14:anchorId="0A7EF6C3">
          <v:rect id="_x0000_i1025" style="width:0;height:0" o:hralign="center" o:hrstd="t" o:hr="t" fillcolor="#a0a0a0" stroked="f"/>
        </w:pict>
      </w:r>
    </w:p>
    <w:p w14:paraId="77F1B945" w14:textId="77777777" w:rsidR="00D5260C" w:rsidRPr="00D5260C" w:rsidRDefault="00D5260C" w:rsidP="00D5260C">
      <w:pPr>
        <w:shd w:val="clear" w:color="auto" w:fill="FFFFFF"/>
        <w:spacing w:after="0" w:line="240" w:lineRule="auto"/>
        <w:outlineLvl w:val="2"/>
        <w:rPr>
          <w:rFonts w:ascii="Arial" w:eastAsia="Times New Roman" w:hAnsi="Arial" w:cs="Arial"/>
          <w:b/>
          <w:bCs/>
          <w:color w:val="3F3F3F"/>
          <w:kern w:val="0"/>
          <w:sz w:val="28"/>
          <w:szCs w:val="28"/>
          <w:lang w:eastAsia="de-DE"/>
          <w14:ligatures w14:val="none"/>
        </w:rPr>
      </w:pPr>
      <w:r w:rsidRPr="00D5260C">
        <w:rPr>
          <w:rFonts w:ascii="Arial" w:eastAsia="Times New Roman" w:hAnsi="Arial" w:cs="Arial"/>
          <w:b/>
          <w:bCs/>
          <w:color w:val="3F3F3F"/>
          <w:kern w:val="0"/>
          <w:sz w:val="28"/>
          <w:szCs w:val="28"/>
          <w:lang w:eastAsia="de-DE"/>
          <w14:ligatures w14:val="none"/>
        </w:rPr>
        <w:t>Landwirtschaftliche Vorrang- und Vorbehaltsfluren</w:t>
      </w:r>
    </w:p>
    <w:p w14:paraId="0F5D7665" w14:textId="77777777" w:rsidR="00D5260C" w:rsidRPr="00D5260C" w:rsidRDefault="00D5260C" w:rsidP="00D5260C">
      <w:pPr>
        <w:shd w:val="clear" w:color="auto" w:fill="FFFFFF"/>
        <w:spacing w:after="0" w:line="240" w:lineRule="auto"/>
        <w:rPr>
          <w:rFonts w:ascii="Arial" w:eastAsia="Times New Roman" w:hAnsi="Arial" w:cs="Arial"/>
          <w:color w:val="3F3F3F"/>
          <w:kern w:val="0"/>
          <w:sz w:val="28"/>
          <w:szCs w:val="28"/>
          <w:lang w:eastAsia="de-DE"/>
          <w14:ligatures w14:val="none"/>
        </w:rPr>
      </w:pPr>
      <w:r w:rsidRPr="00D5260C">
        <w:rPr>
          <w:rFonts w:ascii="Arial" w:eastAsia="Times New Roman" w:hAnsi="Arial" w:cs="Arial"/>
          <w:color w:val="3F3F3F"/>
          <w:kern w:val="0"/>
          <w:sz w:val="28"/>
          <w:szCs w:val="28"/>
          <w:lang w:eastAsia="de-DE"/>
          <w14:ligatures w14:val="none"/>
        </w:rPr>
        <w:t>Die landwirtschaftlichen Vorrang- und Vorbehaltsfluren bilden die ökonomische und strukturelle Grundlage einer nachhaltigen Landwirtschaft. Ihr Schutz und ihre Erhaltung ist Voraussetzung für eine nachhaltige und regionale Erzeugung von Lebensmitteln in ausreichendem Umfang. Sie bilden die unverzichtbare Produktionsgrundlage zukunftsfähiger landwirtschaftlicher Betriebe.</w:t>
      </w:r>
      <w:r w:rsidRPr="00D5260C">
        <w:rPr>
          <w:rFonts w:ascii="Arial" w:eastAsia="Times New Roman" w:hAnsi="Arial" w:cs="Arial"/>
          <w:color w:val="3F3F3F"/>
          <w:kern w:val="0"/>
          <w:sz w:val="28"/>
          <w:szCs w:val="28"/>
          <w:lang w:eastAsia="de-DE"/>
          <w14:ligatures w14:val="none"/>
        </w:rPr>
        <w:br/>
      </w:r>
      <w:r w:rsidRPr="00D5260C">
        <w:rPr>
          <w:rFonts w:ascii="Arial" w:eastAsia="Times New Roman" w:hAnsi="Arial" w:cs="Arial"/>
          <w:color w:val="3F3F3F"/>
          <w:kern w:val="0"/>
          <w:sz w:val="28"/>
          <w:szCs w:val="28"/>
          <w:lang w:eastAsia="de-DE"/>
          <w14:ligatures w14:val="none"/>
        </w:rPr>
        <w:br/>
      </w:r>
    </w:p>
    <w:p w14:paraId="0F93AA94" w14:textId="77777777" w:rsidR="00D5260C" w:rsidRPr="00D5260C" w:rsidRDefault="00D5260C" w:rsidP="00D5260C">
      <w:pPr>
        <w:shd w:val="clear" w:color="auto" w:fill="FFFFFF"/>
        <w:spacing w:after="0" w:line="240" w:lineRule="auto"/>
        <w:rPr>
          <w:rFonts w:ascii="Arial" w:eastAsia="Times New Roman" w:hAnsi="Arial" w:cs="Arial"/>
          <w:b/>
          <w:bCs/>
          <w:color w:val="3F3F3F"/>
          <w:kern w:val="0"/>
          <w:sz w:val="28"/>
          <w:szCs w:val="28"/>
          <w:lang w:eastAsia="de-DE"/>
          <w14:ligatures w14:val="none"/>
        </w:rPr>
      </w:pPr>
      <w:r w:rsidRPr="00777A82">
        <w:rPr>
          <w:rFonts w:ascii="Arial" w:eastAsia="Times New Roman" w:hAnsi="Arial" w:cs="Arial"/>
          <w:b/>
          <w:bCs/>
          <w:color w:val="3F3F3F"/>
          <w:kern w:val="0"/>
          <w:sz w:val="28"/>
          <w:szCs w:val="28"/>
          <w:highlight w:val="green"/>
          <w:lang w:eastAsia="de-DE"/>
          <w14:ligatures w14:val="none"/>
        </w:rPr>
        <w:t>Die Vorrangflur</w:t>
      </w:r>
      <w:r w:rsidRPr="00D5260C">
        <w:rPr>
          <w:rFonts w:ascii="Arial" w:eastAsia="Times New Roman" w:hAnsi="Arial" w:cs="Arial"/>
          <w:b/>
          <w:bCs/>
          <w:color w:val="3F3F3F"/>
          <w:kern w:val="0"/>
          <w:sz w:val="28"/>
          <w:szCs w:val="28"/>
          <w:lang w:eastAsia="de-DE"/>
          <w14:ligatures w14:val="none"/>
        </w:rPr>
        <w:t> </w:t>
      </w:r>
    </w:p>
    <w:p w14:paraId="2F03B7D9" w14:textId="77777777" w:rsidR="00D5260C" w:rsidRPr="00D5260C" w:rsidRDefault="00D5260C" w:rsidP="00D5260C">
      <w:pPr>
        <w:shd w:val="clear" w:color="auto" w:fill="FFFFFF"/>
        <w:spacing w:after="0" w:line="240" w:lineRule="auto"/>
        <w:rPr>
          <w:rFonts w:ascii="Arial" w:eastAsia="Times New Roman" w:hAnsi="Arial" w:cs="Arial"/>
          <w:color w:val="3F3F3F"/>
          <w:kern w:val="0"/>
          <w:sz w:val="28"/>
          <w:szCs w:val="28"/>
          <w:lang w:eastAsia="de-DE"/>
          <w14:ligatures w14:val="none"/>
        </w:rPr>
      </w:pPr>
      <w:r w:rsidRPr="00D5260C">
        <w:rPr>
          <w:rFonts w:ascii="Arial" w:eastAsia="Times New Roman" w:hAnsi="Arial" w:cs="Arial"/>
          <w:color w:val="3F3F3F"/>
          <w:kern w:val="0"/>
          <w:sz w:val="28"/>
          <w:szCs w:val="28"/>
          <w:lang w:eastAsia="de-DE"/>
          <w14:ligatures w14:val="none"/>
        </w:rPr>
        <w:t xml:space="preserve">Die Vorrangflur umfasst </w:t>
      </w:r>
      <w:r w:rsidRPr="00777A82">
        <w:rPr>
          <w:rFonts w:ascii="Arial" w:eastAsia="Times New Roman" w:hAnsi="Arial" w:cs="Arial"/>
          <w:color w:val="3F3F3F"/>
          <w:kern w:val="0"/>
          <w:sz w:val="28"/>
          <w:szCs w:val="28"/>
          <w:highlight w:val="green"/>
          <w:lang w:eastAsia="de-DE"/>
          <w14:ligatures w14:val="none"/>
        </w:rPr>
        <w:t>besonders landbauwürdige Flächen (gute bis sehr gute Böden)</w:t>
      </w:r>
      <w:r w:rsidRPr="00D5260C">
        <w:rPr>
          <w:rFonts w:ascii="Arial" w:eastAsia="Times New Roman" w:hAnsi="Arial" w:cs="Arial"/>
          <w:color w:val="3F3F3F"/>
          <w:kern w:val="0"/>
          <w:sz w:val="28"/>
          <w:szCs w:val="28"/>
          <w:lang w:eastAsia="de-DE"/>
          <w14:ligatures w14:val="none"/>
        </w:rPr>
        <w:t xml:space="preserve"> und Flächen, die wegen ihrer ökonomischen Standortsgunst oder wegen ihrer besonderen Eignung für den Anbau von Sonderkulturen wie zum Beispiel Reben, Obst, Hopfen, Spargel für den Landbau und die Ernährungssicherung unverzichtbar und </w:t>
      </w:r>
      <w:r w:rsidRPr="00777A82">
        <w:rPr>
          <w:rFonts w:ascii="Arial" w:eastAsia="Times New Roman" w:hAnsi="Arial" w:cs="Arial"/>
          <w:color w:val="3F3F3F"/>
          <w:kern w:val="0"/>
          <w:sz w:val="28"/>
          <w:szCs w:val="28"/>
          <w:highlight w:val="green"/>
          <w:lang w:eastAsia="de-DE"/>
          <w14:ligatures w14:val="none"/>
        </w:rPr>
        <w:t>deshalb </w:t>
      </w:r>
      <w:r w:rsidRPr="00777A82">
        <w:rPr>
          <w:rFonts w:ascii="Arial" w:eastAsia="Times New Roman" w:hAnsi="Arial" w:cs="Arial"/>
          <w:b/>
          <w:bCs/>
          <w:color w:val="3F3F3F"/>
          <w:kern w:val="0"/>
          <w:sz w:val="28"/>
          <w:szCs w:val="28"/>
          <w:highlight w:val="green"/>
          <w:lang w:eastAsia="de-DE"/>
          <w14:ligatures w14:val="none"/>
        </w:rPr>
        <w:t>zwingend der landwirtschaftlichen Nutzung vorzubehalten sind.</w:t>
      </w:r>
      <w:r w:rsidRPr="00777A82">
        <w:rPr>
          <w:rFonts w:ascii="Arial" w:eastAsia="Times New Roman" w:hAnsi="Arial" w:cs="Arial"/>
          <w:color w:val="3F3F3F"/>
          <w:kern w:val="0"/>
          <w:sz w:val="28"/>
          <w:szCs w:val="28"/>
          <w:highlight w:val="green"/>
          <w:lang w:eastAsia="de-DE"/>
          <w14:ligatures w14:val="none"/>
        </w:rPr>
        <w:br/>
        <w:t>Fremdnutzungen </w:t>
      </w:r>
      <w:r w:rsidRPr="00777A82">
        <w:rPr>
          <w:rFonts w:ascii="Arial" w:eastAsia="Times New Roman" w:hAnsi="Arial" w:cs="Arial"/>
          <w:b/>
          <w:bCs/>
          <w:color w:val="3F3F3F"/>
          <w:kern w:val="0"/>
          <w:sz w:val="28"/>
          <w:szCs w:val="28"/>
          <w:highlight w:val="green"/>
          <w:lang w:eastAsia="de-DE"/>
          <w14:ligatures w14:val="none"/>
        </w:rPr>
        <w:t>müssen</w:t>
      </w:r>
      <w:r w:rsidRPr="00777A82">
        <w:rPr>
          <w:rFonts w:ascii="Arial" w:eastAsia="Times New Roman" w:hAnsi="Arial" w:cs="Arial"/>
          <w:color w:val="3F3F3F"/>
          <w:kern w:val="0"/>
          <w:sz w:val="28"/>
          <w:szCs w:val="28"/>
          <w:highlight w:val="green"/>
          <w:lang w:eastAsia="de-DE"/>
          <w14:ligatures w14:val="none"/>
        </w:rPr>
        <w:t> ausgeschlossen bleiben.</w:t>
      </w:r>
      <w:r w:rsidRPr="00D5260C">
        <w:rPr>
          <w:rFonts w:ascii="Arial" w:eastAsia="Times New Roman" w:hAnsi="Arial" w:cs="Arial"/>
          <w:b/>
          <w:bCs/>
          <w:color w:val="3F3F3F"/>
          <w:kern w:val="0"/>
          <w:sz w:val="28"/>
          <w:szCs w:val="28"/>
          <w:lang w:eastAsia="de-DE"/>
          <w14:ligatures w14:val="none"/>
        </w:rPr>
        <w:br/>
      </w:r>
    </w:p>
    <w:p w14:paraId="3CB0CFA2" w14:textId="77777777" w:rsidR="00D5260C" w:rsidRPr="00D5260C" w:rsidRDefault="00D5260C" w:rsidP="00D5260C">
      <w:pPr>
        <w:shd w:val="clear" w:color="auto" w:fill="FFFFFF"/>
        <w:spacing w:after="0" w:line="240" w:lineRule="auto"/>
        <w:rPr>
          <w:rFonts w:ascii="Arial" w:eastAsia="Times New Roman" w:hAnsi="Arial" w:cs="Arial"/>
          <w:b/>
          <w:bCs/>
          <w:color w:val="3F3F3F"/>
          <w:kern w:val="0"/>
          <w:sz w:val="28"/>
          <w:szCs w:val="28"/>
          <w:lang w:eastAsia="de-DE"/>
          <w14:ligatures w14:val="none"/>
        </w:rPr>
      </w:pPr>
      <w:r w:rsidRPr="00777A82">
        <w:rPr>
          <w:rFonts w:ascii="Arial" w:eastAsia="Times New Roman" w:hAnsi="Arial" w:cs="Arial"/>
          <w:b/>
          <w:bCs/>
          <w:color w:val="3F3F3F"/>
          <w:kern w:val="0"/>
          <w:sz w:val="28"/>
          <w:szCs w:val="28"/>
          <w:highlight w:val="green"/>
          <w:lang w:eastAsia="de-DE"/>
          <w14:ligatures w14:val="none"/>
        </w:rPr>
        <w:t>Die Vorbehaltsflur I</w:t>
      </w:r>
      <w:r w:rsidRPr="00D5260C">
        <w:rPr>
          <w:rFonts w:ascii="Arial" w:eastAsia="Times New Roman" w:hAnsi="Arial" w:cs="Arial"/>
          <w:b/>
          <w:bCs/>
          <w:color w:val="3F3F3F"/>
          <w:kern w:val="0"/>
          <w:sz w:val="28"/>
          <w:szCs w:val="28"/>
          <w:lang w:eastAsia="de-DE"/>
          <w14:ligatures w14:val="none"/>
        </w:rPr>
        <w:t> </w:t>
      </w:r>
    </w:p>
    <w:p w14:paraId="661A3E7C" w14:textId="77777777" w:rsidR="00D5260C" w:rsidRPr="00D5260C" w:rsidRDefault="00D5260C" w:rsidP="00D5260C">
      <w:pPr>
        <w:shd w:val="clear" w:color="auto" w:fill="FFFFFF"/>
        <w:spacing w:after="0" w:line="240" w:lineRule="auto"/>
        <w:rPr>
          <w:rFonts w:ascii="Arial" w:eastAsia="Times New Roman" w:hAnsi="Arial" w:cs="Arial"/>
          <w:color w:val="3F3F3F"/>
          <w:kern w:val="0"/>
          <w:sz w:val="28"/>
          <w:szCs w:val="28"/>
          <w:lang w:eastAsia="de-DE"/>
          <w14:ligatures w14:val="none"/>
        </w:rPr>
      </w:pPr>
      <w:r w:rsidRPr="00D5260C">
        <w:rPr>
          <w:rFonts w:ascii="Arial" w:eastAsia="Times New Roman" w:hAnsi="Arial" w:cs="Arial"/>
          <w:color w:val="3F3F3F"/>
          <w:kern w:val="0"/>
          <w:sz w:val="28"/>
          <w:szCs w:val="28"/>
          <w:lang w:eastAsia="de-DE"/>
          <w14:ligatures w14:val="none"/>
        </w:rPr>
        <w:t xml:space="preserve">Die Vorbehaltsflur I </w:t>
      </w:r>
      <w:r w:rsidRPr="00777A82">
        <w:rPr>
          <w:rFonts w:ascii="Arial" w:eastAsia="Times New Roman" w:hAnsi="Arial" w:cs="Arial"/>
          <w:color w:val="3F3F3F"/>
          <w:kern w:val="0"/>
          <w:sz w:val="28"/>
          <w:szCs w:val="28"/>
          <w:highlight w:val="green"/>
          <w:lang w:eastAsia="de-DE"/>
          <w14:ligatures w14:val="none"/>
        </w:rPr>
        <w:t>umfasst landbauwürdige Flächen (gute Böden)</w:t>
      </w:r>
      <w:r w:rsidRPr="00D5260C">
        <w:rPr>
          <w:rFonts w:ascii="Arial" w:eastAsia="Times New Roman" w:hAnsi="Arial" w:cs="Arial"/>
          <w:color w:val="3F3F3F"/>
          <w:kern w:val="0"/>
          <w:sz w:val="28"/>
          <w:szCs w:val="28"/>
          <w:lang w:eastAsia="de-DE"/>
          <w14:ligatures w14:val="none"/>
        </w:rPr>
        <w:t xml:space="preserve"> und Flächen, die wegen ihrer ökonomischen Standortsgunst für den Landbau wichtig und deshalb </w:t>
      </w:r>
      <w:r w:rsidRPr="00777A82">
        <w:rPr>
          <w:rFonts w:ascii="Arial" w:eastAsia="Times New Roman" w:hAnsi="Arial" w:cs="Arial"/>
          <w:b/>
          <w:bCs/>
          <w:color w:val="3F3F3F"/>
          <w:kern w:val="0"/>
          <w:sz w:val="28"/>
          <w:szCs w:val="28"/>
          <w:highlight w:val="green"/>
          <w:lang w:eastAsia="de-DE"/>
          <w14:ligatures w14:val="none"/>
        </w:rPr>
        <w:t>der landwirtschaftlichen Nutzung vorzubehalten sind.</w:t>
      </w:r>
      <w:r w:rsidRPr="00777A82">
        <w:rPr>
          <w:rFonts w:ascii="Arial" w:eastAsia="Times New Roman" w:hAnsi="Arial" w:cs="Arial"/>
          <w:b/>
          <w:bCs/>
          <w:color w:val="3F3F3F"/>
          <w:kern w:val="0"/>
          <w:sz w:val="28"/>
          <w:szCs w:val="28"/>
          <w:highlight w:val="green"/>
          <w:lang w:eastAsia="de-DE"/>
          <w14:ligatures w14:val="none"/>
        </w:rPr>
        <w:br/>
      </w:r>
      <w:r w:rsidRPr="00777A82">
        <w:rPr>
          <w:rFonts w:ascii="Arial" w:eastAsia="Times New Roman" w:hAnsi="Arial" w:cs="Arial"/>
          <w:color w:val="3F3F3F"/>
          <w:kern w:val="0"/>
          <w:sz w:val="28"/>
          <w:szCs w:val="28"/>
          <w:highlight w:val="green"/>
          <w:lang w:eastAsia="de-DE"/>
          <w14:ligatures w14:val="none"/>
        </w:rPr>
        <w:t>Fremdnutzungen </w:t>
      </w:r>
      <w:r w:rsidRPr="00777A82">
        <w:rPr>
          <w:rFonts w:ascii="Arial" w:eastAsia="Times New Roman" w:hAnsi="Arial" w:cs="Arial"/>
          <w:b/>
          <w:bCs/>
          <w:color w:val="3F3F3F"/>
          <w:kern w:val="0"/>
          <w:sz w:val="28"/>
          <w:szCs w:val="28"/>
          <w:highlight w:val="green"/>
          <w:lang w:eastAsia="de-DE"/>
          <w14:ligatures w14:val="none"/>
        </w:rPr>
        <w:t>sollen</w:t>
      </w:r>
      <w:r w:rsidRPr="00777A82">
        <w:rPr>
          <w:rFonts w:ascii="Arial" w:eastAsia="Times New Roman" w:hAnsi="Arial" w:cs="Arial"/>
          <w:color w:val="3F3F3F"/>
          <w:kern w:val="0"/>
          <w:sz w:val="28"/>
          <w:szCs w:val="28"/>
          <w:highlight w:val="green"/>
          <w:lang w:eastAsia="de-DE"/>
          <w14:ligatures w14:val="none"/>
        </w:rPr>
        <w:t> ausgeschlossen bleiben.</w:t>
      </w:r>
      <w:r w:rsidRPr="00D5260C">
        <w:rPr>
          <w:rFonts w:ascii="Arial" w:eastAsia="Times New Roman" w:hAnsi="Arial" w:cs="Arial"/>
          <w:b/>
          <w:bCs/>
          <w:color w:val="3F3F3F"/>
          <w:kern w:val="0"/>
          <w:sz w:val="28"/>
          <w:szCs w:val="28"/>
          <w:lang w:eastAsia="de-DE"/>
          <w14:ligatures w14:val="none"/>
        </w:rPr>
        <w:br/>
      </w:r>
    </w:p>
    <w:p w14:paraId="17DC0393" w14:textId="77777777" w:rsidR="00D5260C" w:rsidRPr="00D5260C" w:rsidRDefault="00D5260C" w:rsidP="00D5260C">
      <w:pPr>
        <w:shd w:val="clear" w:color="auto" w:fill="FFFFFF"/>
        <w:spacing w:after="0" w:line="240" w:lineRule="auto"/>
        <w:rPr>
          <w:rFonts w:ascii="Arial" w:eastAsia="Times New Roman" w:hAnsi="Arial" w:cs="Arial"/>
          <w:b/>
          <w:bCs/>
          <w:color w:val="3F3F3F"/>
          <w:kern w:val="0"/>
          <w:sz w:val="28"/>
          <w:szCs w:val="28"/>
          <w:lang w:eastAsia="de-DE"/>
          <w14:ligatures w14:val="none"/>
        </w:rPr>
      </w:pPr>
      <w:r w:rsidRPr="00777A82">
        <w:rPr>
          <w:rFonts w:ascii="Arial" w:eastAsia="Times New Roman" w:hAnsi="Arial" w:cs="Arial"/>
          <w:b/>
          <w:bCs/>
          <w:color w:val="3F3F3F"/>
          <w:kern w:val="0"/>
          <w:sz w:val="28"/>
          <w:szCs w:val="28"/>
          <w:highlight w:val="green"/>
          <w:lang w:eastAsia="de-DE"/>
          <w14:ligatures w14:val="none"/>
        </w:rPr>
        <w:t>Die Vorbehaltsflur II</w:t>
      </w:r>
      <w:r w:rsidRPr="00D5260C">
        <w:rPr>
          <w:rFonts w:ascii="Arial" w:eastAsia="Times New Roman" w:hAnsi="Arial" w:cs="Arial"/>
          <w:b/>
          <w:bCs/>
          <w:color w:val="3F3F3F"/>
          <w:kern w:val="0"/>
          <w:sz w:val="28"/>
          <w:szCs w:val="28"/>
          <w:lang w:eastAsia="de-DE"/>
          <w14:ligatures w14:val="none"/>
        </w:rPr>
        <w:t> </w:t>
      </w:r>
    </w:p>
    <w:p w14:paraId="6E81E0C9" w14:textId="77777777" w:rsidR="00D5260C" w:rsidRPr="00D5260C" w:rsidRDefault="00D5260C" w:rsidP="00D5260C">
      <w:pPr>
        <w:shd w:val="clear" w:color="auto" w:fill="FFFFFF"/>
        <w:spacing w:after="0" w:line="240" w:lineRule="auto"/>
        <w:rPr>
          <w:rFonts w:ascii="Arial" w:eastAsia="Times New Roman" w:hAnsi="Arial" w:cs="Arial"/>
          <w:color w:val="3F3F3F"/>
          <w:kern w:val="0"/>
          <w:sz w:val="28"/>
          <w:szCs w:val="28"/>
          <w:lang w:eastAsia="de-DE"/>
          <w14:ligatures w14:val="none"/>
        </w:rPr>
      </w:pPr>
      <w:r w:rsidRPr="00D5260C">
        <w:rPr>
          <w:rFonts w:ascii="Arial" w:eastAsia="Times New Roman" w:hAnsi="Arial" w:cs="Arial"/>
          <w:color w:val="3F3F3F"/>
          <w:kern w:val="0"/>
          <w:sz w:val="28"/>
          <w:szCs w:val="28"/>
          <w:lang w:eastAsia="de-DE"/>
          <w14:ligatures w14:val="none"/>
        </w:rPr>
        <w:t>Die Vorbehaltsflur II umfasst überwiegend landbauwürdige Flächen (mittlere Böden), die </w:t>
      </w:r>
      <w:r w:rsidRPr="00777A82">
        <w:rPr>
          <w:rFonts w:ascii="Arial" w:eastAsia="Times New Roman" w:hAnsi="Arial" w:cs="Arial"/>
          <w:b/>
          <w:bCs/>
          <w:color w:val="3F3F3F"/>
          <w:kern w:val="0"/>
          <w:sz w:val="28"/>
          <w:szCs w:val="28"/>
          <w:highlight w:val="green"/>
          <w:lang w:eastAsia="de-DE"/>
          <w14:ligatures w14:val="none"/>
        </w:rPr>
        <w:t>der landwirtschaftlichen Nutzung größtenteils vorzubehalten sind.</w:t>
      </w:r>
      <w:r w:rsidRPr="00777A82">
        <w:rPr>
          <w:rFonts w:ascii="Arial" w:eastAsia="Times New Roman" w:hAnsi="Arial" w:cs="Arial"/>
          <w:color w:val="3F3F3F"/>
          <w:kern w:val="0"/>
          <w:sz w:val="28"/>
          <w:szCs w:val="28"/>
          <w:highlight w:val="green"/>
          <w:lang w:eastAsia="de-DE"/>
          <w14:ligatures w14:val="none"/>
        </w:rPr>
        <w:br/>
        <w:t>Fremdnutzungen </w:t>
      </w:r>
      <w:r w:rsidRPr="00777A82">
        <w:rPr>
          <w:rFonts w:ascii="Arial" w:eastAsia="Times New Roman" w:hAnsi="Arial" w:cs="Arial"/>
          <w:b/>
          <w:bCs/>
          <w:color w:val="3F3F3F"/>
          <w:kern w:val="0"/>
          <w:sz w:val="28"/>
          <w:szCs w:val="28"/>
          <w:highlight w:val="green"/>
          <w:lang w:eastAsia="de-DE"/>
          <w14:ligatures w14:val="none"/>
        </w:rPr>
        <w:t>sollten</w:t>
      </w:r>
      <w:r w:rsidRPr="00777A82">
        <w:rPr>
          <w:rFonts w:ascii="Arial" w:eastAsia="Times New Roman" w:hAnsi="Arial" w:cs="Arial"/>
          <w:color w:val="3F3F3F"/>
          <w:kern w:val="0"/>
          <w:sz w:val="28"/>
          <w:szCs w:val="28"/>
          <w:highlight w:val="green"/>
          <w:lang w:eastAsia="de-DE"/>
          <w14:ligatures w14:val="none"/>
        </w:rPr>
        <w:t> ausgeschlossen bleiben.</w:t>
      </w:r>
    </w:p>
    <w:p w14:paraId="0F29470B" w14:textId="77777777" w:rsidR="00D5260C" w:rsidRPr="00D5260C" w:rsidRDefault="00D5260C">
      <w:pPr>
        <w:rPr>
          <w:rFonts w:ascii="Arial" w:hAnsi="Arial" w:cs="Arial"/>
          <w:sz w:val="28"/>
          <w:szCs w:val="28"/>
        </w:rPr>
      </w:pPr>
    </w:p>
    <w:p w14:paraId="21608351" w14:textId="77777777" w:rsidR="00D5260C" w:rsidRDefault="00D5260C"/>
    <w:p w14:paraId="56CA3954" w14:textId="77777777" w:rsidR="00D5260C" w:rsidRDefault="00D5260C"/>
    <w:p w14:paraId="339FD10A" w14:textId="77777777" w:rsidR="00D5260C" w:rsidRDefault="00D5260C"/>
    <w:p w14:paraId="042E2ED3" w14:textId="77777777" w:rsidR="00D5260C" w:rsidRDefault="00D5260C"/>
    <w:p w14:paraId="403F2F48" w14:textId="77777777" w:rsidR="00D5260C" w:rsidRDefault="00D5260C"/>
    <w:p w14:paraId="3AE6E28C" w14:textId="77777777" w:rsidR="00D5260C" w:rsidRDefault="00D5260C"/>
    <w:p w14:paraId="4EAC1375" w14:textId="77777777" w:rsidR="00D5260C" w:rsidRDefault="00D5260C"/>
    <w:p w14:paraId="1D4A2650" w14:textId="77777777" w:rsidR="00D5260C" w:rsidRDefault="00D5260C"/>
    <w:p w14:paraId="065DB799" w14:textId="77777777" w:rsidR="00D5260C" w:rsidRDefault="00D5260C"/>
    <w:p w14:paraId="2F313143" w14:textId="77777777" w:rsidR="00D5260C" w:rsidRDefault="00D5260C"/>
    <w:p w14:paraId="50A512AE" w14:textId="77777777" w:rsidR="00D5260C" w:rsidRPr="00D5260C" w:rsidRDefault="00D5260C" w:rsidP="00D5260C">
      <w:pPr>
        <w:shd w:val="clear" w:color="auto" w:fill="FFFFFF"/>
        <w:spacing w:after="0" w:line="240" w:lineRule="auto"/>
        <w:outlineLvl w:val="2"/>
        <w:rPr>
          <w:rFonts w:ascii="Arial" w:eastAsia="Times New Roman" w:hAnsi="Arial" w:cs="Arial"/>
          <w:b/>
          <w:bCs/>
          <w:color w:val="3F3F3F"/>
          <w:kern w:val="0"/>
          <w:sz w:val="32"/>
          <w:szCs w:val="32"/>
          <w:lang w:eastAsia="de-DE"/>
          <w14:ligatures w14:val="none"/>
        </w:rPr>
      </w:pPr>
      <w:r w:rsidRPr="00D5260C">
        <w:rPr>
          <w:rFonts w:ascii="Arial" w:eastAsia="Times New Roman" w:hAnsi="Arial" w:cs="Arial"/>
          <w:b/>
          <w:bCs/>
          <w:color w:val="3F3F3F"/>
          <w:kern w:val="0"/>
          <w:sz w:val="32"/>
          <w:szCs w:val="32"/>
          <w:highlight w:val="yellow"/>
          <w:lang w:eastAsia="de-DE"/>
          <w14:ligatures w14:val="none"/>
        </w:rPr>
        <w:t>Landwirtschaftliche Grenz- und Untergrenzfluren</w:t>
      </w:r>
    </w:p>
    <w:p w14:paraId="67CA8D60" w14:textId="77777777" w:rsidR="00D5260C" w:rsidRPr="00D5260C" w:rsidRDefault="00D5260C" w:rsidP="00D5260C">
      <w:pPr>
        <w:shd w:val="clear" w:color="auto" w:fill="FFFFFF"/>
        <w:spacing w:after="0" w:line="240" w:lineRule="auto"/>
        <w:rPr>
          <w:rFonts w:ascii="Helvetica" w:eastAsia="Times New Roman" w:hAnsi="Helvetica" w:cs="Helvetica"/>
          <w:color w:val="3F3F3F"/>
          <w:kern w:val="0"/>
          <w:sz w:val="32"/>
          <w:szCs w:val="32"/>
          <w:lang w:eastAsia="de-DE"/>
          <w14:ligatures w14:val="none"/>
        </w:rPr>
      </w:pPr>
      <w:r w:rsidRPr="00777A82">
        <w:rPr>
          <w:rFonts w:ascii="Helvetica" w:eastAsia="Times New Roman" w:hAnsi="Helvetica" w:cs="Helvetica"/>
          <w:color w:val="3F3F3F"/>
          <w:kern w:val="0"/>
          <w:sz w:val="32"/>
          <w:szCs w:val="32"/>
          <w:highlight w:val="yellow"/>
          <w:lang w:eastAsia="de-DE"/>
          <w14:ligatures w14:val="none"/>
        </w:rPr>
        <w:t xml:space="preserve">Die landwirtschaftlichen Grenz- und Untergrenzfluren sind ökonomisch und strukturell nicht nachhaltig </w:t>
      </w:r>
      <w:proofErr w:type="spellStart"/>
      <w:r w:rsidRPr="00777A82">
        <w:rPr>
          <w:rFonts w:ascii="Helvetica" w:eastAsia="Times New Roman" w:hAnsi="Helvetica" w:cs="Helvetica"/>
          <w:color w:val="3F3F3F"/>
          <w:kern w:val="0"/>
          <w:sz w:val="32"/>
          <w:szCs w:val="32"/>
          <w:highlight w:val="yellow"/>
          <w:lang w:eastAsia="de-DE"/>
          <w14:ligatures w14:val="none"/>
        </w:rPr>
        <w:t>bewirtschaftbar</w:t>
      </w:r>
      <w:proofErr w:type="spellEnd"/>
      <w:r w:rsidRPr="00777A82">
        <w:rPr>
          <w:rFonts w:ascii="Helvetica" w:eastAsia="Times New Roman" w:hAnsi="Helvetica" w:cs="Helvetica"/>
          <w:color w:val="3F3F3F"/>
          <w:kern w:val="0"/>
          <w:sz w:val="32"/>
          <w:szCs w:val="32"/>
          <w:highlight w:val="yellow"/>
          <w:lang w:eastAsia="de-DE"/>
          <w14:ligatures w14:val="none"/>
        </w:rPr>
        <w:t>. Ihre oftmals hohe Bedeutung für Naturschutz und Erholung kann jedoch spezialisierten landwirtschaftlichen Betrieben ein Auskommen in der Pflege und Erhaltung dieser Flächen bieten.</w:t>
      </w:r>
      <w:r w:rsidRPr="00D5260C">
        <w:rPr>
          <w:rFonts w:ascii="Helvetica" w:eastAsia="Times New Roman" w:hAnsi="Helvetica" w:cs="Helvetica"/>
          <w:color w:val="3F3F3F"/>
          <w:kern w:val="0"/>
          <w:sz w:val="32"/>
          <w:szCs w:val="32"/>
          <w:lang w:eastAsia="de-DE"/>
          <w14:ligatures w14:val="none"/>
        </w:rPr>
        <w:t> </w:t>
      </w:r>
      <w:r w:rsidRPr="00D5260C">
        <w:rPr>
          <w:rFonts w:ascii="Helvetica" w:eastAsia="Times New Roman" w:hAnsi="Helvetica" w:cs="Helvetica"/>
          <w:color w:val="3F3F3F"/>
          <w:kern w:val="0"/>
          <w:sz w:val="32"/>
          <w:szCs w:val="32"/>
          <w:lang w:eastAsia="de-DE"/>
          <w14:ligatures w14:val="none"/>
        </w:rPr>
        <w:br/>
      </w:r>
      <w:r w:rsidRPr="00D5260C">
        <w:rPr>
          <w:rFonts w:ascii="Helvetica" w:eastAsia="Times New Roman" w:hAnsi="Helvetica" w:cs="Helvetica"/>
          <w:color w:val="3F3F3F"/>
          <w:kern w:val="0"/>
          <w:sz w:val="32"/>
          <w:szCs w:val="32"/>
          <w:highlight w:val="yellow"/>
          <w:lang w:eastAsia="de-DE"/>
          <w14:ligatures w14:val="none"/>
        </w:rPr>
        <w:t>Auch im energetischen Bereich (Windkraft, Freiflächen-Photovoltaik) bieten diese Flächen Potenziale.</w:t>
      </w:r>
      <w:r w:rsidRPr="00D5260C">
        <w:rPr>
          <w:rFonts w:ascii="Helvetica" w:eastAsia="Times New Roman" w:hAnsi="Helvetica" w:cs="Helvetica"/>
          <w:color w:val="3F3F3F"/>
          <w:kern w:val="0"/>
          <w:sz w:val="32"/>
          <w:szCs w:val="32"/>
          <w:lang w:eastAsia="de-DE"/>
          <w14:ligatures w14:val="none"/>
        </w:rPr>
        <w:br/>
      </w:r>
    </w:p>
    <w:p w14:paraId="3F5AE280" w14:textId="2EE54F94" w:rsidR="00D5260C" w:rsidRPr="00D5260C" w:rsidRDefault="00D5260C" w:rsidP="00D5260C">
      <w:pPr>
        <w:shd w:val="clear" w:color="auto" w:fill="FFFFFF"/>
        <w:spacing w:after="0" w:line="240" w:lineRule="auto"/>
        <w:rPr>
          <w:rFonts w:ascii="Helvetica" w:eastAsia="Times New Roman" w:hAnsi="Helvetica" w:cs="Helvetica"/>
          <w:b/>
          <w:bCs/>
          <w:color w:val="3F3F3F"/>
          <w:kern w:val="0"/>
          <w:sz w:val="32"/>
          <w:szCs w:val="32"/>
          <w:lang w:eastAsia="de-DE"/>
          <w14:ligatures w14:val="none"/>
        </w:rPr>
      </w:pPr>
      <w:r w:rsidRPr="00777A82">
        <w:rPr>
          <w:rFonts w:ascii="Helvetica" w:eastAsia="Times New Roman" w:hAnsi="Helvetica" w:cs="Helvetica"/>
          <w:b/>
          <w:bCs/>
          <w:color w:val="3F3F3F"/>
          <w:kern w:val="0"/>
          <w:sz w:val="32"/>
          <w:szCs w:val="32"/>
          <w:highlight w:val="yellow"/>
          <w:lang w:eastAsia="de-DE"/>
          <w14:ligatures w14:val="none"/>
        </w:rPr>
        <w:t>Die Grenzflur</w:t>
      </w:r>
      <w:r w:rsidRPr="00D5260C">
        <w:rPr>
          <w:rFonts w:ascii="Helvetica" w:eastAsia="Times New Roman" w:hAnsi="Helvetica" w:cs="Helvetica"/>
          <w:b/>
          <w:bCs/>
          <w:color w:val="3F3F3F"/>
          <w:kern w:val="0"/>
          <w:sz w:val="32"/>
          <w:szCs w:val="32"/>
          <w:lang w:eastAsia="de-DE"/>
          <w14:ligatures w14:val="none"/>
        </w:rPr>
        <w:t> </w:t>
      </w:r>
      <w:r w:rsidRPr="00D5260C">
        <w:rPr>
          <w:rFonts w:ascii="Helvetica" w:eastAsia="Times New Roman" w:hAnsi="Helvetica" w:cs="Helvetica"/>
          <w:color w:val="3F3F3F"/>
          <w:kern w:val="0"/>
          <w:sz w:val="32"/>
          <w:szCs w:val="32"/>
          <w:lang w:eastAsia="de-DE"/>
          <w14:ligatures w14:val="none"/>
        </w:rPr>
        <w:br/>
        <w:t>Die Grenzflur umfasst landbauproblematische Flächen (schlechte Böden), die bei geringer Ertragsfähigkeit erhöhte Aufwendungen in der Bewirtschaftung erfordern und gerade noch einen kostendeckenden Ertrag erwirtschaften lassen. </w:t>
      </w:r>
      <w:r w:rsidRPr="00D5260C">
        <w:rPr>
          <w:rFonts w:ascii="Helvetica" w:eastAsia="Times New Roman" w:hAnsi="Helvetica" w:cs="Helvetica"/>
          <w:color w:val="3F3F3F"/>
          <w:kern w:val="0"/>
          <w:sz w:val="32"/>
          <w:szCs w:val="32"/>
          <w:lang w:eastAsia="de-DE"/>
          <w14:ligatures w14:val="none"/>
        </w:rPr>
        <w:br/>
        <w:t>Fremdnutzungen </w:t>
      </w:r>
      <w:r w:rsidRPr="00D5260C">
        <w:rPr>
          <w:rFonts w:ascii="Helvetica" w:eastAsia="Times New Roman" w:hAnsi="Helvetica" w:cs="Helvetica"/>
          <w:b/>
          <w:bCs/>
          <w:color w:val="3F3F3F"/>
          <w:kern w:val="0"/>
          <w:sz w:val="32"/>
          <w:szCs w:val="32"/>
          <w:lang w:eastAsia="de-DE"/>
          <w14:ligatures w14:val="none"/>
        </w:rPr>
        <w:t>können</w:t>
      </w:r>
      <w:r w:rsidRPr="00D5260C">
        <w:rPr>
          <w:rFonts w:ascii="Helvetica" w:eastAsia="Times New Roman" w:hAnsi="Helvetica" w:cs="Helvetica"/>
          <w:color w:val="3F3F3F"/>
          <w:kern w:val="0"/>
          <w:sz w:val="32"/>
          <w:szCs w:val="32"/>
          <w:lang w:eastAsia="de-DE"/>
          <w14:ligatures w14:val="none"/>
        </w:rPr>
        <w:t> auf längere Sicht in Betracht kommen. Dabei sind die Ziele zur Pflege und zum Erhalt der Kulturlandschaft zu berücksichtigen.</w:t>
      </w:r>
      <w:r w:rsidRPr="00D5260C">
        <w:rPr>
          <w:rFonts w:ascii="Helvetica" w:eastAsia="Times New Roman" w:hAnsi="Helvetica" w:cs="Helvetica"/>
          <w:color w:val="3F3F3F"/>
          <w:kern w:val="0"/>
          <w:sz w:val="32"/>
          <w:szCs w:val="32"/>
          <w:lang w:eastAsia="de-DE"/>
          <w14:ligatures w14:val="none"/>
        </w:rPr>
        <w:br/>
      </w:r>
    </w:p>
    <w:p w14:paraId="29E06F46" w14:textId="2E2AA6C0" w:rsidR="00D5260C" w:rsidRPr="00D5260C" w:rsidRDefault="00D5260C" w:rsidP="00D5260C">
      <w:pPr>
        <w:shd w:val="clear" w:color="auto" w:fill="FFFFFF"/>
        <w:spacing w:after="0" w:line="240" w:lineRule="auto"/>
        <w:rPr>
          <w:rFonts w:ascii="Helvetica" w:eastAsia="Times New Roman" w:hAnsi="Helvetica" w:cs="Helvetica"/>
          <w:b/>
          <w:bCs/>
          <w:color w:val="3F3F3F"/>
          <w:kern w:val="0"/>
          <w:sz w:val="32"/>
          <w:szCs w:val="32"/>
          <w:lang w:eastAsia="de-DE"/>
          <w14:ligatures w14:val="none"/>
        </w:rPr>
      </w:pPr>
      <w:r w:rsidRPr="00777A82">
        <w:rPr>
          <w:rFonts w:ascii="Helvetica" w:eastAsia="Times New Roman" w:hAnsi="Helvetica" w:cs="Helvetica"/>
          <w:b/>
          <w:bCs/>
          <w:color w:val="3F3F3F"/>
          <w:kern w:val="0"/>
          <w:sz w:val="32"/>
          <w:szCs w:val="32"/>
          <w:highlight w:val="yellow"/>
          <w:lang w:eastAsia="de-DE"/>
          <w14:ligatures w14:val="none"/>
        </w:rPr>
        <w:t>Die Untergrenzflur</w:t>
      </w:r>
      <w:r w:rsidRPr="00D5260C">
        <w:rPr>
          <w:rFonts w:ascii="Helvetica" w:eastAsia="Times New Roman" w:hAnsi="Helvetica" w:cs="Helvetica"/>
          <w:b/>
          <w:bCs/>
          <w:color w:val="3F3F3F"/>
          <w:kern w:val="0"/>
          <w:sz w:val="32"/>
          <w:szCs w:val="32"/>
          <w:lang w:eastAsia="de-DE"/>
          <w14:ligatures w14:val="none"/>
        </w:rPr>
        <w:t> </w:t>
      </w:r>
      <w:r w:rsidRPr="00D5260C">
        <w:rPr>
          <w:rFonts w:ascii="Helvetica" w:eastAsia="Times New Roman" w:hAnsi="Helvetica" w:cs="Helvetica"/>
          <w:color w:val="3F3F3F"/>
          <w:kern w:val="0"/>
          <w:sz w:val="32"/>
          <w:szCs w:val="32"/>
          <w:lang w:eastAsia="de-DE"/>
          <w14:ligatures w14:val="none"/>
        </w:rPr>
        <w:br/>
        <w:t>Die Untergrenzflur umfasst die nicht landbauwürdigen Flächen (ungeeignete Böden), die wegen ihrer sehr geringen landwirtschaftlichen Eignung kein positives Ertrags- oder Aufwandsverhältnis ermöglichen.</w:t>
      </w:r>
      <w:r w:rsidRPr="00D5260C">
        <w:rPr>
          <w:rFonts w:ascii="Helvetica" w:eastAsia="Times New Roman" w:hAnsi="Helvetica" w:cs="Helvetica"/>
          <w:color w:val="3F3F3F"/>
          <w:kern w:val="0"/>
          <w:sz w:val="32"/>
          <w:szCs w:val="32"/>
          <w:lang w:eastAsia="de-DE"/>
          <w14:ligatures w14:val="none"/>
        </w:rPr>
        <w:br/>
        <w:t>Fremdnutzungen </w:t>
      </w:r>
      <w:r w:rsidRPr="00D5260C">
        <w:rPr>
          <w:rFonts w:ascii="Helvetica" w:eastAsia="Times New Roman" w:hAnsi="Helvetica" w:cs="Helvetica"/>
          <w:b/>
          <w:bCs/>
          <w:color w:val="3F3F3F"/>
          <w:kern w:val="0"/>
          <w:sz w:val="32"/>
          <w:szCs w:val="32"/>
          <w:lang w:eastAsia="de-DE"/>
          <w14:ligatures w14:val="none"/>
        </w:rPr>
        <w:t>können</w:t>
      </w:r>
      <w:r w:rsidRPr="00D5260C">
        <w:rPr>
          <w:rFonts w:ascii="Helvetica" w:eastAsia="Times New Roman" w:hAnsi="Helvetica" w:cs="Helvetica"/>
          <w:color w:val="3F3F3F"/>
          <w:kern w:val="0"/>
          <w:sz w:val="32"/>
          <w:szCs w:val="32"/>
          <w:lang w:eastAsia="de-DE"/>
          <w14:ligatures w14:val="none"/>
        </w:rPr>
        <w:t> aus Sicht der ökonomischen Landnutzung befürwortet werden. Sie haben sich an den Zielen zur Offenhaltung der Kulturlandschaft auszurichten.</w:t>
      </w:r>
    </w:p>
    <w:p w14:paraId="7AAE8D79" w14:textId="77777777" w:rsidR="00D5260C" w:rsidRPr="00D5260C" w:rsidRDefault="00D5260C">
      <w:pPr>
        <w:rPr>
          <w:sz w:val="32"/>
          <w:szCs w:val="32"/>
        </w:rPr>
      </w:pPr>
    </w:p>
    <w:sectPr w:rsidR="00D5260C" w:rsidRPr="00D5260C" w:rsidSect="00D526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C"/>
    <w:rsid w:val="0052121A"/>
    <w:rsid w:val="00777A82"/>
    <w:rsid w:val="008276C2"/>
    <w:rsid w:val="00A53F65"/>
    <w:rsid w:val="00D52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A051"/>
  <w15:chartTrackingRefBased/>
  <w15:docId w15:val="{EF64983F-96F8-4D74-AA28-9427EE39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26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26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26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26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26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26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26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26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26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26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26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26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26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26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26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260C"/>
    <w:rPr>
      <w:rFonts w:eastAsiaTheme="majorEastAsia" w:cstheme="majorBidi"/>
      <w:color w:val="272727" w:themeColor="text1" w:themeTint="D8"/>
    </w:rPr>
  </w:style>
  <w:style w:type="paragraph" w:styleId="Titel">
    <w:name w:val="Title"/>
    <w:basedOn w:val="Standard"/>
    <w:next w:val="Standard"/>
    <w:link w:val="TitelZchn"/>
    <w:uiPriority w:val="10"/>
    <w:qFormat/>
    <w:rsid w:val="00D5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26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26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26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26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260C"/>
    <w:rPr>
      <w:i/>
      <w:iCs/>
      <w:color w:val="404040" w:themeColor="text1" w:themeTint="BF"/>
    </w:rPr>
  </w:style>
  <w:style w:type="paragraph" w:styleId="Listenabsatz">
    <w:name w:val="List Paragraph"/>
    <w:basedOn w:val="Standard"/>
    <w:uiPriority w:val="34"/>
    <w:qFormat/>
    <w:rsid w:val="00D5260C"/>
    <w:pPr>
      <w:ind w:left="720"/>
      <w:contextualSpacing/>
    </w:pPr>
  </w:style>
  <w:style w:type="character" w:styleId="IntensiveHervorhebung">
    <w:name w:val="Intense Emphasis"/>
    <w:basedOn w:val="Absatz-Standardschriftart"/>
    <w:uiPriority w:val="21"/>
    <w:qFormat/>
    <w:rsid w:val="00D5260C"/>
    <w:rPr>
      <w:i/>
      <w:iCs/>
      <w:color w:val="0F4761" w:themeColor="accent1" w:themeShade="BF"/>
    </w:rPr>
  </w:style>
  <w:style w:type="paragraph" w:styleId="IntensivesZitat">
    <w:name w:val="Intense Quote"/>
    <w:basedOn w:val="Standard"/>
    <w:next w:val="Standard"/>
    <w:link w:val="IntensivesZitatZchn"/>
    <w:uiPriority w:val="30"/>
    <w:qFormat/>
    <w:rsid w:val="00D5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260C"/>
    <w:rPr>
      <w:i/>
      <w:iCs/>
      <w:color w:val="0F4761" w:themeColor="accent1" w:themeShade="BF"/>
    </w:rPr>
  </w:style>
  <w:style w:type="character" w:styleId="IntensiverVerweis">
    <w:name w:val="Intense Reference"/>
    <w:basedOn w:val="Absatz-Standardschriftart"/>
    <w:uiPriority w:val="32"/>
    <w:qFormat/>
    <w:rsid w:val="00D5260C"/>
    <w:rPr>
      <w:b/>
      <w:bCs/>
      <w:smallCaps/>
      <w:color w:val="0F4761" w:themeColor="accent1" w:themeShade="BF"/>
      <w:spacing w:val="5"/>
    </w:rPr>
  </w:style>
  <w:style w:type="character" w:styleId="Hyperlink">
    <w:name w:val="Hyperlink"/>
    <w:basedOn w:val="Absatz-Standardschriftart"/>
    <w:uiPriority w:val="99"/>
    <w:semiHidden/>
    <w:unhideWhenUsed/>
    <w:rsid w:val="00D52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96709">
      <w:bodyDiv w:val="1"/>
      <w:marLeft w:val="0"/>
      <w:marRight w:val="0"/>
      <w:marTop w:val="0"/>
      <w:marBottom w:val="0"/>
      <w:divBdr>
        <w:top w:val="none" w:sz="0" w:space="0" w:color="auto"/>
        <w:left w:val="none" w:sz="0" w:space="0" w:color="auto"/>
        <w:bottom w:val="none" w:sz="0" w:space="0" w:color="auto"/>
        <w:right w:val="none" w:sz="0" w:space="0" w:color="auto"/>
      </w:divBdr>
      <w:divsChild>
        <w:div w:id="28191984">
          <w:marLeft w:val="0"/>
          <w:marRight w:val="0"/>
          <w:marTop w:val="0"/>
          <w:marBottom w:val="0"/>
          <w:divBdr>
            <w:top w:val="none" w:sz="0" w:space="0" w:color="auto"/>
            <w:left w:val="none" w:sz="0" w:space="0" w:color="auto"/>
            <w:bottom w:val="none" w:sz="0" w:space="0" w:color="auto"/>
            <w:right w:val="none" w:sz="0" w:space="0" w:color="auto"/>
          </w:divBdr>
          <w:divsChild>
            <w:div w:id="1053043485">
              <w:marLeft w:val="0"/>
              <w:marRight w:val="0"/>
              <w:marTop w:val="0"/>
              <w:marBottom w:val="0"/>
              <w:divBdr>
                <w:top w:val="none" w:sz="0" w:space="0" w:color="auto"/>
                <w:left w:val="none" w:sz="0" w:space="0" w:color="auto"/>
                <w:bottom w:val="none" w:sz="0" w:space="0" w:color="auto"/>
                <w:right w:val="none" w:sz="0" w:space="0" w:color="auto"/>
              </w:divBdr>
              <w:divsChild>
                <w:div w:id="18225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211">
          <w:marLeft w:val="0"/>
          <w:marRight w:val="0"/>
          <w:marTop w:val="0"/>
          <w:marBottom w:val="0"/>
          <w:divBdr>
            <w:top w:val="none" w:sz="0" w:space="0" w:color="auto"/>
            <w:left w:val="none" w:sz="0" w:space="0" w:color="auto"/>
            <w:bottom w:val="none" w:sz="0" w:space="0" w:color="auto"/>
            <w:right w:val="none" w:sz="0" w:space="0" w:color="auto"/>
          </w:divBdr>
          <w:divsChild>
            <w:div w:id="2035885211">
              <w:marLeft w:val="0"/>
              <w:marRight w:val="0"/>
              <w:marTop w:val="0"/>
              <w:marBottom w:val="0"/>
              <w:divBdr>
                <w:top w:val="none" w:sz="0" w:space="0" w:color="auto"/>
                <w:left w:val="none" w:sz="0" w:space="0" w:color="auto"/>
                <w:bottom w:val="none" w:sz="0" w:space="0" w:color="auto"/>
                <w:right w:val="none" w:sz="0" w:space="0" w:color="auto"/>
              </w:divBdr>
            </w:div>
            <w:div w:id="2107193457">
              <w:marLeft w:val="0"/>
              <w:marRight w:val="0"/>
              <w:marTop w:val="0"/>
              <w:marBottom w:val="0"/>
              <w:divBdr>
                <w:top w:val="none" w:sz="0" w:space="0" w:color="auto"/>
                <w:left w:val="none" w:sz="0" w:space="0" w:color="auto"/>
                <w:bottom w:val="none" w:sz="0" w:space="0" w:color="auto"/>
                <w:right w:val="none" w:sz="0" w:space="0" w:color="auto"/>
              </w:divBdr>
              <w:divsChild>
                <w:div w:id="852961179">
                  <w:marLeft w:val="0"/>
                  <w:marRight w:val="0"/>
                  <w:marTop w:val="0"/>
                  <w:marBottom w:val="0"/>
                  <w:divBdr>
                    <w:top w:val="none" w:sz="0" w:space="0" w:color="auto"/>
                    <w:left w:val="none" w:sz="0" w:space="0" w:color="auto"/>
                    <w:bottom w:val="none" w:sz="0" w:space="0" w:color="auto"/>
                    <w:right w:val="none" w:sz="0" w:space="0" w:color="auto"/>
                  </w:divBdr>
                  <w:divsChild>
                    <w:div w:id="1016618385">
                      <w:marLeft w:val="0"/>
                      <w:marRight w:val="0"/>
                      <w:marTop w:val="0"/>
                      <w:marBottom w:val="0"/>
                      <w:divBdr>
                        <w:top w:val="none" w:sz="0" w:space="0" w:color="auto"/>
                        <w:left w:val="none" w:sz="0" w:space="0" w:color="auto"/>
                        <w:bottom w:val="none" w:sz="0" w:space="0" w:color="auto"/>
                        <w:right w:val="none" w:sz="0" w:space="0" w:color="auto"/>
                      </w:divBdr>
                      <w:divsChild>
                        <w:div w:id="889993832">
                          <w:marLeft w:val="0"/>
                          <w:marRight w:val="0"/>
                          <w:marTop w:val="0"/>
                          <w:marBottom w:val="0"/>
                          <w:divBdr>
                            <w:top w:val="none" w:sz="0" w:space="0" w:color="auto"/>
                            <w:left w:val="none" w:sz="0" w:space="0" w:color="auto"/>
                            <w:bottom w:val="none" w:sz="0" w:space="0" w:color="auto"/>
                            <w:right w:val="none" w:sz="0" w:space="0" w:color="auto"/>
                          </w:divBdr>
                          <w:divsChild>
                            <w:div w:id="14627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46832">
          <w:marLeft w:val="0"/>
          <w:marRight w:val="0"/>
          <w:marTop w:val="0"/>
          <w:marBottom w:val="0"/>
          <w:divBdr>
            <w:top w:val="none" w:sz="0" w:space="0" w:color="auto"/>
            <w:left w:val="none" w:sz="0" w:space="0" w:color="auto"/>
            <w:bottom w:val="none" w:sz="0" w:space="0" w:color="auto"/>
            <w:right w:val="none" w:sz="0" w:space="0" w:color="auto"/>
          </w:divBdr>
          <w:divsChild>
            <w:div w:id="541524208">
              <w:marLeft w:val="0"/>
              <w:marRight w:val="0"/>
              <w:marTop w:val="0"/>
              <w:marBottom w:val="0"/>
              <w:divBdr>
                <w:top w:val="none" w:sz="0" w:space="0" w:color="auto"/>
                <w:left w:val="none" w:sz="0" w:space="0" w:color="auto"/>
                <w:bottom w:val="none" w:sz="0" w:space="0" w:color="auto"/>
                <w:right w:val="none" w:sz="0" w:space="0" w:color="auto"/>
              </w:divBdr>
            </w:div>
            <w:div w:id="1043595284">
              <w:marLeft w:val="0"/>
              <w:marRight w:val="0"/>
              <w:marTop w:val="0"/>
              <w:marBottom w:val="0"/>
              <w:divBdr>
                <w:top w:val="none" w:sz="0" w:space="0" w:color="auto"/>
                <w:left w:val="none" w:sz="0" w:space="0" w:color="auto"/>
                <w:bottom w:val="none" w:sz="0" w:space="0" w:color="auto"/>
                <w:right w:val="none" w:sz="0" w:space="0" w:color="auto"/>
              </w:divBdr>
              <w:divsChild>
                <w:div w:id="1334718766">
                  <w:marLeft w:val="0"/>
                  <w:marRight w:val="0"/>
                  <w:marTop w:val="0"/>
                  <w:marBottom w:val="0"/>
                  <w:divBdr>
                    <w:top w:val="none" w:sz="0" w:space="0" w:color="auto"/>
                    <w:left w:val="none" w:sz="0" w:space="0" w:color="auto"/>
                    <w:bottom w:val="none" w:sz="0" w:space="0" w:color="auto"/>
                    <w:right w:val="none" w:sz="0" w:space="0" w:color="auto"/>
                  </w:divBdr>
                  <w:divsChild>
                    <w:div w:id="380908923">
                      <w:marLeft w:val="0"/>
                      <w:marRight w:val="0"/>
                      <w:marTop w:val="0"/>
                      <w:marBottom w:val="0"/>
                      <w:divBdr>
                        <w:top w:val="none" w:sz="0" w:space="0" w:color="auto"/>
                        <w:left w:val="none" w:sz="0" w:space="0" w:color="auto"/>
                        <w:bottom w:val="none" w:sz="0" w:space="0" w:color="auto"/>
                        <w:right w:val="none" w:sz="0" w:space="0" w:color="auto"/>
                      </w:divBdr>
                      <w:divsChild>
                        <w:div w:id="1867281847">
                          <w:marLeft w:val="0"/>
                          <w:marRight w:val="0"/>
                          <w:marTop w:val="0"/>
                          <w:marBottom w:val="0"/>
                          <w:divBdr>
                            <w:top w:val="none" w:sz="0" w:space="0" w:color="auto"/>
                            <w:left w:val="none" w:sz="0" w:space="0" w:color="auto"/>
                            <w:bottom w:val="none" w:sz="0" w:space="0" w:color="auto"/>
                            <w:right w:val="none" w:sz="0" w:space="0" w:color="auto"/>
                          </w:divBdr>
                          <w:divsChild>
                            <w:div w:id="1058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3009">
      <w:bodyDiv w:val="1"/>
      <w:marLeft w:val="0"/>
      <w:marRight w:val="0"/>
      <w:marTop w:val="0"/>
      <w:marBottom w:val="0"/>
      <w:divBdr>
        <w:top w:val="none" w:sz="0" w:space="0" w:color="auto"/>
        <w:left w:val="none" w:sz="0" w:space="0" w:color="auto"/>
        <w:bottom w:val="none" w:sz="0" w:space="0" w:color="auto"/>
        <w:right w:val="none" w:sz="0" w:space="0" w:color="auto"/>
      </w:divBdr>
      <w:divsChild>
        <w:div w:id="1966428263">
          <w:marLeft w:val="0"/>
          <w:marRight w:val="0"/>
          <w:marTop w:val="0"/>
          <w:marBottom w:val="0"/>
          <w:divBdr>
            <w:top w:val="none" w:sz="0" w:space="0" w:color="auto"/>
            <w:left w:val="none" w:sz="0" w:space="0" w:color="auto"/>
            <w:bottom w:val="none" w:sz="0" w:space="0" w:color="auto"/>
            <w:right w:val="none" w:sz="0" w:space="0" w:color="auto"/>
          </w:divBdr>
          <w:divsChild>
            <w:div w:id="535898541">
              <w:marLeft w:val="0"/>
              <w:marRight w:val="0"/>
              <w:marTop w:val="0"/>
              <w:marBottom w:val="0"/>
              <w:divBdr>
                <w:top w:val="none" w:sz="0" w:space="0" w:color="auto"/>
                <w:left w:val="none" w:sz="0" w:space="0" w:color="auto"/>
                <w:bottom w:val="none" w:sz="0" w:space="0" w:color="auto"/>
                <w:right w:val="none" w:sz="0" w:space="0" w:color="auto"/>
              </w:divBdr>
            </w:div>
          </w:divsChild>
        </w:div>
        <w:div w:id="1086728350">
          <w:marLeft w:val="0"/>
          <w:marRight w:val="0"/>
          <w:marTop w:val="0"/>
          <w:marBottom w:val="0"/>
          <w:divBdr>
            <w:top w:val="none" w:sz="0" w:space="0" w:color="auto"/>
            <w:left w:val="none" w:sz="0" w:space="0" w:color="auto"/>
            <w:bottom w:val="none" w:sz="0" w:space="0" w:color="auto"/>
            <w:right w:val="none" w:sz="0" w:space="0" w:color="auto"/>
          </w:divBdr>
          <w:divsChild>
            <w:div w:id="751463006">
              <w:marLeft w:val="0"/>
              <w:marRight w:val="0"/>
              <w:marTop w:val="0"/>
              <w:marBottom w:val="0"/>
              <w:divBdr>
                <w:top w:val="none" w:sz="0" w:space="0" w:color="auto"/>
                <w:left w:val="none" w:sz="0" w:space="0" w:color="auto"/>
                <w:bottom w:val="none" w:sz="0" w:space="0" w:color="auto"/>
                <w:right w:val="none" w:sz="0" w:space="0" w:color="auto"/>
              </w:divBdr>
              <w:divsChild>
                <w:div w:id="905843392">
                  <w:marLeft w:val="0"/>
                  <w:marRight w:val="0"/>
                  <w:marTop w:val="0"/>
                  <w:marBottom w:val="0"/>
                  <w:divBdr>
                    <w:top w:val="none" w:sz="0" w:space="0" w:color="auto"/>
                    <w:left w:val="none" w:sz="0" w:space="0" w:color="auto"/>
                    <w:bottom w:val="none" w:sz="0" w:space="0" w:color="auto"/>
                    <w:right w:val="none" w:sz="0" w:space="0" w:color="auto"/>
                  </w:divBdr>
                  <w:divsChild>
                    <w:div w:id="1480461201">
                      <w:marLeft w:val="0"/>
                      <w:marRight w:val="0"/>
                      <w:marTop w:val="0"/>
                      <w:marBottom w:val="0"/>
                      <w:divBdr>
                        <w:top w:val="none" w:sz="0" w:space="0" w:color="auto"/>
                        <w:left w:val="none" w:sz="0" w:space="0" w:color="auto"/>
                        <w:bottom w:val="none" w:sz="0" w:space="0" w:color="auto"/>
                        <w:right w:val="none" w:sz="0" w:space="0" w:color="auto"/>
                      </w:divBdr>
                      <w:divsChild>
                        <w:div w:id="5419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5593">
                  <w:marLeft w:val="0"/>
                  <w:marRight w:val="0"/>
                  <w:marTop w:val="0"/>
                  <w:marBottom w:val="0"/>
                  <w:divBdr>
                    <w:top w:val="none" w:sz="0" w:space="0" w:color="auto"/>
                    <w:left w:val="none" w:sz="0" w:space="0" w:color="auto"/>
                    <w:bottom w:val="none" w:sz="0" w:space="0" w:color="auto"/>
                    <w:right w:val="none" w:sz="0" w:space="0" w:color="auto"/>
                  </w:divBdr>
                  <w:divsChild>
                    <w:div w:id="1801535617">
                      <w:marLeft w:val="0"/>
                      <w:marRight w:val="0"/>
                      <w:marTop w:val="0"/>
                      <w:marBottom w:val="0"/>
                      <w:divBdr>
                        <w:top w:val="none" w:sz="0" w:space="0" w:color="auto"/>
                        <w:left w:val="none" w:sz="0" w:space="0" w:color="auto"/>
                        <w:bottom w:val="none" w:sz="0" w:space="0" w:color="auto"/>
                        <w:right w:val="none" w:sz="0" w:space="0" w:color="auto"/>
                      </w:divBdr>
                    </w:div>
                    <w:div w:id="727804518">
                      <w:marLeft w:val="0"/>
                      <w:marRight w:val="0"/>
                      <w:marTop w:val="0"/>
                      <w:marBottom w:val="0"/>
                      <w:divBdr>
                        <w:top w:val="none" w:sz="0" w:space="0" w:color="auto"/>
                        <w:left w:val="none" w:sz="0" w:space="0" w:color="auto"/>
                        <w:bottom w:val="none" w:sz="0" w:space="0" w:color="auto"/>
                        <w:right w:val="none" w:sz="0" w:space="0" w:color="auto"/>
                      </w:divBdr>
                      <w:divsChild>
                        <w:div w:id="504905083">
                          <w:marLeft w:val="0"/>
                          <w:marRight w:val="0"/>
                          <w:marTop w:val="0"/>
                          <w:marBottom w:val="0"/>
                          <w:divBdr>
                            <w:top w:val="none" w:sz="0" w:space="0" w:color="auto"/>
                            <w:left w:val="none" w:sz="0" w:space="0" w:color="auto"/>
                            <w:bottom w:val="none" w:sz="0" w:space="0" w:color="auto"/>
                            <w:right w:val="none" w:sz="0" w:space="0" w:color="auto"/>
                          </w:divBdr>
                          <w:divsChild>
                            <w:div w:id="2143495178">
                              <w:marLeft w:val="0"/>
                              <w:marRight w:val="0"/>
                              <w:marTop w:val="0"/>
                              <w:marBottom w:val="0"/>
                              <w:divBdr>
                                <w:top w:val="none" w:sz="0" w:space="0" w:color="auto"/>
                                <w:left w:val="none" w:sz="0" w:space="0" w:color="auto"/>
                                <w:bottom w:val="none" w:sz="0" w:space="0" w:color="auto"/>
                                <w:right w:val="none" w:sz="0" w:space="0" w:color="auto"/>
                              </w:divBdr>
                              <w:divsChild>
                                <w:div w:id="975648315">
                                  <w:marLeft w:val="0"/>
                                  <w:marRight w:val="0"/>
                                  <w:marTop w:val="0"/>
                                  <w:marBottom w:val="0"/>
                                  <w:divBdr>
                                    <w:top w:val="none" w:sz="0" w:space="0" w:color="auto"/>
                                    <w:left w:val="none" w:sz="0" w:space="0" w:color="auto"/>
                                    <w:bottom w:val="none" w:sz="0" w:space="0" w:color="auto"/>
                                    <w:right w:val="none" w:sz="0" w:space="0" w:color="auto"/>
                                  </w:divBdr>
                                  <w:divsChild>
                                    <w:div w:id="9077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286192">
                  <w:marLeft w:val="0"/>
                  <w:marRight w:val="0"/>
                  <w:marTop w:val="0"/>
                  <w:marBottom w:val="0"/>
                  <w:divBdr>
                    <w:top w:val="none" w:sz="0" w:space="0" w:color="auto"/>
                    <w:left w:val="none" w:sz="0" w:space="0" w:color="auto"/>
                    <w:bottom w:val="none" w:sz="0" w:space="0" w:color="auto"/>
                    <w:right w:val="none" w:sz="0" w:space="0" w:color="auto"/>
                  </w:divBdr>
                  <w:divsChild>
                    <w:div w:id="1501507616">
                      <w:marLeft w:val="0"/>
                      <w:marRight w:val="0"/>
                      <w:marTop w:val="0"/>
                      <w:marBottom w:val="0"/>
                      <w:divBdr>
                        <w:top w:val="none" w:sz="0" w:space="0" w:color="auto"/>
                        <w:left w:val="none" w:sz="0" w:space="0" w:color="auto"/>
                        <w:bottom w:val="none" w:sz="0" w:space="0" w:color="auto"/>
                        <w:right w:val="none" w:sz="0" w:space="0" w:color="auto"/>
                      </w:divBdr>
                    </w:div>
                    <w:div w:id="1587688634">
                      <w:marLeft w:val="0"/>
                      <w:marRight w:val="0"/>
                      <w:marTop w:val="0"/>
                      <w:marBottom w:val="0"/>
                      <w:divBdr>
                        <w:top w:val="none" w:sz="0" w:space="0" w:color="auto"/>
                        <w:left w:val="none" w:sz="0" w:space="0" w:color="auto"/>
                        <w:bottom w:val="none" w:sz="0" w:space="0" w:color="auto"/>
                        <w:right w:val="none" w:sz="0" w:space="0" w:color="auto"/>
                      </w:divBdr>
                      <w:divsChild>
                        <w:div w:id="572542427">
                          <w:marLeft w:val="0"/>
                          <w:marRight w:val="0"/>
                          <w:marTop w:val="0"/>
                          <w:marBottom w:val="0"/>
                          <w:divBdr>
                            <w:top w:val="none" w:sz="0" w:space="0" w:color="auto"/>
                            <w:left w:val="none" w:sz="0" w:space="0" w:color="auto"/>
                            <w:bottom w:val="none" w:sz="0" w:space="0" w:color="auto"/>
                            <w:right w:val="none" w:sz="0" w:space="0" w:color="auto"/>
                          </w:divBdr>
                          <w:divsChild>
                            <w:div w:id="34820576">
                              <w:marLeft w:val="0"/>
                              <w:marRight w:val="0"/>
                              <w:marTop w:val="0"/>
                              <w:marBottom w:val="0"/>
                              <w:divBdr>
                                <w:top w:val="none" w:sz="0" w:space="0" w:color="auto"/>
                                <w:left w:val="none" w:sz="0" w:space="0" w:color="auto"/>
                                <w:bottom w:val="none" w:sz="0" w:space="0" w:color="auto"/>
                                <w:right w:val="none" w:sz="0" w:space="0" w:color="auto"/>
                              </w:divBdr>
                              <w:divsChild>
                                <w:div w:id="1780486399">
                                  <w:marLeft w:val="0"/>
                                  <w:marRight w:val="0"/>
                                  <w:marTop w:val="0"/>
                                  <w:marBottom w:val="0"/>
                                  <w:divBdr>
                                    <w:top w:val="none" w:sz="0" w:space="0" w:color="auto"/>
                                    <w:left w:val="none" w:sz="0" w:space="0" w:color="auto"/>
                                    <w:bottom w:val="none" w:sz="0" w:space="0" w:color="auto"/>
                                    <w:right w:val="none" w:sz="0" w:space="0" w:color="auto"/>
                                  </w:divBdr>
                                  <w:divsChild>
                                    <w:div w:id="1592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213326">
                  <w:marLeft w:val="0"/>
                  <w:marRight w:val="0"/>
                  <w:marTop w:val="0"/>
                  <w:marBottom w:val="0"/>
                  <w:divBdr>
                    <w:top w:val="none" w:sz="0" w:space="0" w:color="auto"/>
                    <w:left w:val="none" w:sz="0" w:space="0" w:color="auto"/>
                    <w:bottom w:val="none" w:sz="0" w:space="0" w:color="auto"/>
                    <w:right w:val="none" w:sz="0" w:space="0" w:color="auto"/>
                  </w:divBdr>
                  <w:divsChild>
                    <w:div w:id="2022075728">
                      <w:marLeft w:val="0"/>
                      <w:marRight w:val="0"/>
                      <w:marTop w:val="0"/>
                      <w:marBottom w:val="0"/>
                      <w:divBdr>
                        <w:top w:val="none" w:sz="0" w:space="0" w:color="auto"/>
                        <w:left w:val="none" w:sz="0" w:space="0" w:color="auto"/>
                        <w:bottom w:val="none" w:sz="0" w:space="0" w:color="auto"/>
                        <w:right w:val="none" w:sz="0" w:space="0" w:color="auto"/>
                      </w:divBdr>
                    </w:div>
                    <w:div w:id="167449209">
                      <w:marLeft w:val="0"/>
                      <w:marRight w:val="0"/>
                      <w:marTop w:val="0"/>
                      <w:marBottom w:val="0"/>
                      <w:divBdr>
                        <w:top w:val="none" w:sz="0" w:space="0" w:color="auto"/>
                        <w:left w:val="none" w:sz="0" w:space="0" w:color="auto"/>
                        <w:bottom w:val="none" w:sz="0" w:space="0" w:color="auto"/>
                        <w:right w:val="none" w:sz="0" w:space="0" w:color="auto"/>
                      </w:divBdr>
                      <w:divsChild>
                        <w:div w:id="322508395">
                          <w:marLeft w:val="0"/>
                          <w:marRight w:val="0"/>
                          <w:marTop w:val="0"/>
                          <w:marBottom w:val="0"/>
                          <w:divBdr>
                            <w:top w:val="none" w:sz="0" w:space="0" w:color="auto"/>
                            <w:left w:val="none" w:sz="0" w:space="0" w:color="auto"/>
                            <w:bottom w:val="none" w:sz="0" w:space="0" w:color="auto"/>
                            <w:right w:val="none" w:sz="0" w:space="0" w:color="auto"/>
                          </w:divBdr>
                          <w:divsChild>
                            <w:div w:id="1812164900">
                              <w:marLeft w:val="0"/>
                              <w:marRight w:val="0"/>
                              <w:marTop w:val="0"/>
                              <w:marBottom w:val="0"/>
                              <w:divBdr>
                                <w:top w:val="none" w:sz="0" w:space="0" w:color="auto"/>
                                <w:left w:val="none" w:sz="0" w:space="0" w:color="auto"/>
                                <w:bottom w:val="none" w:sz="0" w:space="0" w:color="auto"/>
                                <w:right w:val="none" w:sz="0" w:space="0" w:color="auto"/>
                              </w:divBdr>
                              <w:divsChild>
                                <w:div w:id="826674196">
                                  <w:marLeft w:val="0"/>
                                  <w:marRight w:val="0"/>
                                  <w:marTop w:val="0"/>
                                  <w:marBottom w:val="0"/>
                                  <w:divBdr>
                                    <w:top w:val="none" w:sz="0" w:space="0" w:color="auto"/>
                                    <w:left w:val="none" w:sz="0" w:space="0" w:color="auto"/>
                                    <w:bottom w:val="none" w:sz="0" w:space="0" w:color="auto"/>
                                    <w:right w:val="none" w:sz="0" w:space="0" w:color="auto"/>
                                  </w:divBdr>
                                  <w:divsChild>
                                    <w:div w:id="1201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el.landwirtschaft-bw.de/site/pbs-bw-mlr-root/get/documents_E639172551/MLR.LEL/PB5Documents/lel/Abteilung_3/Flurbilanz/Dokumente/2022-03-31_VwV%20Standorteignungskartierung%20und%20Bodenbilanz.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3655</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Wildi - wildigarten</dc:creator>
  <cp:keywords/>
  <dc:description/>
  <cp:lastModifiedBy>Dietmar Wildi - wildigarten</cp:lastModifiedBy>
  <cp:revision>2</cp:revision>
  <cp:lastPrinted>2024-05-28T11:11:00Z</cp:lastPrinted>
  <dcterms:created xsi:type="dcterms:W3CDTF">2024-06-02T10:59:00Z</dcterms:created>
  <dcterms:modified xsi:type="dcterms:W3CDTF">2024-06-02T10:59:00Z</dcterms:modified>
</cp:coreProperties>
</file>